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F8C" w:rsidRPr="00427F8C" w:rsidRDefault="00427F8C" w:rsidP="00427F8C">
      <w:pPr>
        <w:tabs>
          <w:tab w:val="left" w:pos="3960"/>
        </w:tabs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427F8C">
        <w:rPr>
          <w:rFonts w:asciiTheme="majorHAnsi" w:eastAsia="Arial Unicode MS" w:hAnsiTheme="majorHAnsi" w:cstheme="majorHAnsi"/>
          <w:b/>
          <w:sz w:val="44"/>
          <w:szCs w:val="44"/>
        </w:rPr>
        <w:t xml:space="preserve">ELŐTERJESZTÉS  </w:t>
      </w:r>
    </w:p>
    <w:p w:rsidR="00427F8C" w:rsidRPr="00427F8C" w:rsidRDefault="00427F8C" w:rsidP="00427F8C">
      <w:pPr>
        <w:tabs>
          <w:tab w:val="left" w:pos="3960"/>
        </w:tabs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</w:p>
    <w:p w:rsidR="00427F8C" w:rsidRPr="00427F8C" w:rsidRDefault="00427F8C" w:rsidP="00427F8C">
      <w:pPr>
        <w:jc w:val="center"/>
        <w:rPr>
          <w:rFonts w:asciiTheme="majorHAnsi" w:hAnsiTheme="majorHAnsi" w:cstheme="majorHAnsi"/>
          <w:sz w:val="44"/>
          <w:szCs w:val="44"/>
        </w:rPr>
      </w:pPr>
      <w:r w:rsidRPr="00427F8C">
        <w:rPr>
          <w:rFonts w:asciiTheme="majorHAnsi" w:hAnsiTheme="majorHAnsi" w:cstheme="majorHAnsi"/>
          <w:b/>
          <w:noProof/>
          <w:sz w:val="44"/>
          <w:szCs w:val="44"/>
          <w:lang w:eastAsia="hu-HU"/>
        </w:rPr>
        <w:drawing>
          <wp:inline distT="0" distB="0" distL="0" distR="0" wp14:anchorId="7F2B19E0" wp14:editId="338CAFCB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F8C" w:rsidRPr="00427F8C" w:rsidRDefault="00427F8C" w:rsidP="00427F8C">
      <w:pPr>
        <w:rPr>
          <w:rFonts w:asciiTheme="majorHAnsi" w:eastAsia="Arial Unicode MS" w:hAnsiTheme="majorHAnsi" w:cstheme="majorHAnsi"/>
          <w:sz w:val="44"/>
          <w:szCs w:val="44"/>
        </w:rPr>
      </w:pPr>
    </w:p>
    <w:p w:rsidR="00427F8C" w:rsidRPr="00427F8C" w:rsidRDefault="00427F8C" w:rsidP="00427F8C">
      <w:pPr>
        <w:jc w:val="center"/>
        <w:rPr>
          <w:rFonts w:asciiTheme="majorHAnsi" w:eastAsia="Arial Unicode MS" w:hAnsiTheme="majorHAnsi" w:cstheme="majorHAnsi"/>
          <w:sz w:val="44"/>
          <w:szCs w:val="44"/>
        </w:rPr>
      </w:pPr>
      <w:r w:rsidRPr="00427F8C">
        <w:rPr>
          <w:rFonts w:asciiTheme="majorHAnsi" w:eastAsia="Arial Unicode MS" w:hAnsiTheme="majorHAnsi" w:cstheme="majorHAnsi"/>
          <w:sz w:val="44"/>
          <w:szCs w:val="44"/>
        </w:rPr>
        <w:t>BALATONBERÉNY KÖZSÉG ÖNKORMÁNYZATI KÉPVISELŐ-TESTÜLETÉNEK</w:t>
      </w:r>
    </w:p>
    <w:p w:rsidR="00427F8C" w:rsidRPr="00427F8C" w:rsidRDefault="00427F8C" w:rsidP="00427F8C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427F8C">
        <w:rPr>
          <w:rFonts w:asciiTheme="majorHAnsi" w:eastAsia="Arial Unicode MS" w:hAnsiTheme="majorHAnsi" w:cstheme="majorHAnsi"/>
          <w:b/>
          <w:sz w:val="44"/>
          <w:szCs w:val="44"/>
        </w:rPr>
        <w:t xml:space="preserve">2024. október 8-i </w:t>
      </w:r>
    </w:p>
    <w:p w:rsidR="00427F8C" w:rsidRPr="00427F8C" w:rsidRDefault="00427F8C" w:rsidP="00427F8C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proofErr w:type="gramStart"/>
      <w:r w:rsidRPr="00427F8C">
        <w:rPr>
          <w:rFonts w:asciiTheme="majorHAnsi" w:eastAsia="Arial Unicode MS" w:hAnsiTheme="majorHAnsi" w:cstheme="majorHAnsi"/>
          <w:b/>
          <w:sz w:val="44"/>
          <w:szCs w:val="44"/>
        </w:rPr>
        <w:t>nyilvános</w:t>
      </w:r>
      <w:proofErr w:type="gramEnd"/>
      <w:r w:rsidRPr="00427F8C">
        <w:rPr>
          <w:rFonts w:asciiTheme="majorHAnsi" w:eastAsia="Arial Unicode MS" w:hAnsiTheme="majorHAnsi" w:cstheme="majorHAnsi"/>
          <w:b/>
          <w:sz w:val="44"/>
          <w:szCs w:val="44"/>
        </w:rPr>
        <w:t xml:space="preserve"> alakuló ülésére </w:t>
      </w:r>
    </w:p>
    <w:p w:rsidR="00427F8C" w:rsidRPr="00427F8C" w:rsidRDefault="00427F8C" w:rsidP="00427F8C">
      <w:pPr>
        <w:rPr>
          <w:rFonts w:asciiTheme="majorHAnsi" w:eastAsia="Arial Unicode MS" w:hAnsiTheme="majorHAnsi" w:cstheme="majorHAnsi"/>
          <w:b/>
          <w:sz w:val="44"/>
          <w:szCs w:val="44"/>
        </w:rPr>
      </w:pPr>
    </w:p>
    <w:p w:rsidR="00427F8C" w:rsidRPr="00427F8C" w:rsidRDefault="00427F8C" w:rsidP="00427F8C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427F8C">
        <w:rPr>
          <w:rFonts w:asciiTheme="majorHAnsi" w:eastAsia="Arial Unicode MS" w:hAnsiTheme="majorHAnsi" w:cstheme="majorHAnsi"/>
          <w:b/>
          <w:sz w:val="44"/>
          <w:szCs w:val="44"/>
        </w:rPr>
        <w:t>TÁRGY:</w:t>
      </w:r>
    </w:p>
    <w:p w:rsidR="00427F8C" w:rsidRPr="00427F8C" w:rsidRDefault="00427F8C" w:rsidP="00427F8C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427F8C">
        <w:rPr>
          <w:rFonts w:asciiTheme="majorHAnsi" w:eastAsia="Arial Unicode MS" w:hAnsiTheme="majorHAnsi" w:cstheme="majorHAnsi"/>
          <w:b/>
          <w:sz w:val="44"/>
          <w:szCs w:val="44"/>
        </w:rPr>
        <w:t>Szervezeti és Működési Szabályzat felülvizsgálata</w:t>
      </w:r>
    </w:p>
    <w:p w:rsidR="00427F8C" w:rsidRPr="00427F8C" w:rsidRDefault="00427F8C" w:rsidP="00427F8C">
      <w:pPr>
        <w:rPr>
          <w:rFonts w:asciiTheme="majorHAnsi" w:eastAsia="Arial Unicode MS" w:hAnsiTheme="majorHAnsi" w:cstheme="majorHAnsi"/>
          <w:b/>
          <w:sz w:val="44"/>
          <w:szCs w:val="44"/>
        </w:rPr>
      </w:pPr>
    </w:p>
    <w:p w:rsidR="00427F8C" w:rsidRPr="00427F8C" w:rsidRDefault="00427F8C" w:rsidP="00427F8C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427F8C">
        <w:rPr>
          <w:rFonts w:asciiTheme="majorHAnsi" w:eastAsia="Arial Unicode MS" w:hAnsiTheme="majorHAnsi" w:cstheme="majorHAnsi"/>
          <w:b/>
          <w:sz w:val="44"/>
          <w:szCs w:val="44"/>
        </w:rPr>
        <w:t>ELŐADÓ:</w:t>
      </w:r>
    </w:p>
    <w:p w:rsidR="00427F8C" w:rsidRPr="00427F8C" w:rsidRDefault="00427F8C" w:rsidP="00427F8C">
      <w:pPr>
        <w:jc w:val="center"/>
        <w:rPr>
          <w:rFonts w:asciiTheme="majorHAnsi" w:hAnsiTheme="majorHAnsi" w:cstheme="majorHAnsi"/>
          <w:sz w:val="44"/>
          <w:szCs w:val="44"/>
        </w:rPr>
      </w:pPr>
      <w:proofErr w:type="spellStart"/>
      <w:r w:rsidRPr="00427F8C">
        <w:rPr>
          <w:rFonts w:asciiTheme="majorHAnsi" w:hAnsiTheme="majorHAnsi" w:cstheme="majorHAnsi"/>
          <w:sz w:val="44"/>
          <w:szCs w:val="44"/>
        </w:rPr>
        <w:t>Druskoczi</w:t>
      </w:r>
      <w:proofErr w:type="spellEnd"/>
      <w:r w:rsidRPr="00427F8C">
        <w:rPr>
          <w:rFonts w:asciiTheme="majorHAnsi" w:hAnsiTheme="majorHAnsi" w:cstheme="majorHAnsi"/>
          <w:sz w:val="44"/>
          <w:szCs w:val="44"/>
        </w:rPr>
        <w:t xml:space="preserve"> Tünde </w:t>
      </w:r>
    </w:p>
    <w:p w:rsidR="00427F8C" w:rsidRPr="00427F8C" w:rsidRDefault="00427F8C" w:rsidP="00427F8C">
      <w:pPr>
        <w:jc w:val="center"/>
        <w:rPr>
          <w:rFonts w:asciiTheme="majorHAnsi" w:hAnsiTheme="majorHAnsi" w:cstheme="majorHAnsi"/>
          <w:sz w:val="44"/>
          <w:szCs w:val="44"/>
        </w:rPr>
      </w:pPr>
      <w:proofErr w:type="gramStart"/>
      <w:r w:rsidRPr="00427F8C">
        <w:rPr>
          <w:rFonts w:asciiTheme="majorHAnsi" w:hAnsiTheme="majorHAnsi" w:cstheme="majorHAnsi"/>
          <w:sz w:val="44"/>
          <w:szCs w:val="44"/>
        </w:rPr>
        <w:t>polgármester</w:t>
      </w:r>
      <w:proofErr w:type="gramEnd"/>
    </w:p>
    <w:p w:rsidR="00427F8C" w:rsidRPr="00427F8C" w:rsidRDefault="00427F8C" w:rsidP="00427F8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hu-HU"/>
        </w:rPr>
      </w:pPr>
    </w:p>
    <w:p w:rsidR="00427F8C" w:rsidRPr="00427F8C" w:rsidRDefault="00427F8C" w:rsidP="00427F8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hu-HU"/>
        </w:rPr>
      </w:pPr>
    </w:p>
    <w:p w:rsidR="00427F8C" w:rsidRDefault="00427F8C" w:rsidP="00427F8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lang w:eastAsia="hu-HU"/>
        </w:rPr>
      </w:pPr>
    </w:p>
    <w:p w:rsidR="00427F8C" w:rsidRPr="00427F8C" w:rsidRDefault="00427F8C" w:rsidP="00427F8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lang w:eastAsia="hu-HU"/>
        </w:rPr>
      </w:pPr>
      <w:r w:rsidRPr="00427F8C">
        <w:rPr>
          <w:rFonts w:asciiTheme="majorHAnsi" w:eastAsia="Times New Roman" w:hAnsiTheme="majorHAnsi" w:cstheme="majorHAnsi"/>
          <w:b/>
          <w:lang w:eastAsia="hu-HU"/>
        </w:rPr>
        <w:lastRenderedPageBreak/>
        <w:t>Tisztelt Képviselő-testület!</w:t>
      </w:r>
    </w:p>
    <w:p w:rsidR="00427F8C" w:rsidRPr="00427F8C" w:rsidRDefault="00427F8C" w:rsidP="00427F8C">
      <w:pPr>
        <w:shd w:val="clear" w:color="auto" w:fill="FFFFFF"/>
        <w:spacing w:line="276" w:lineRule="auto"/>
        <w:ind w:left="14" w:right="24"/>
        <w:jc w:val="both"/>
        <w:rPr>
          <w:rFonts w:ascii="Arial" w:hAnsi="Arial" w:cs="Arial"/>
          <w:sz w:val="20"/>
          <w:szCs w:val="20"/>
        </w:rPr>
      </w:pPr>
      <w:r w:rsidRPr="00427F8C">
        <w:rPr>
          <w:rFonts w:ascii="Arial" w:hAnsi="Arial" w:cs="Arial"/>
          <w:sz w:val="20"/>
          <w:szCs w:val="20"/>
        </w:rPr>
        <w:t xml:space="preserve">Az önkormányzat szervezeti és működési szabályzatról szóló rendelete (a továbbiakban: SZMSZ) a mindenkori képviselő-testület és szervei működésének részletes szabályait tartalmazza, emiatt indokolt, hogy azt az önkormányzati választást követően megalakult új képviselő-testület a saját maga által kialakítani kívánt gyakorlathoz igazítsa. A rendelet felülvizsgálata, új rendelet megalkotása során a gyakorlati szempontokon túl figyelemmel kell lenni a </w:t>
      </w:r>
      <w:r w:rsidRPr="00427F8C">
        <w:rPr>
          <w:rFonts w:ascii="Arial" w:hAnsi="Arial" w:cs="Arial"/>
          <w:b/>
          <w:sz w:val="20"/>
          <w:szCs w:val="20"/>
        </w:rPr>
        <w:t xml:space="preserve">kötelező tartalmi elemek </w:t>
      </w:r>
      <w:r w:rsidRPr="00427F8C">
        <w:rPr>
          <w:rFonts w:ascii="Arial" w:hAnsi="Arial" w:cs="Arial"/>
          <w:sz w:val="20"/>
          <w:szCs w:val="20"/>
        </w:rPr>
        <w:t>kifejtésekor a jogszabályi előírásokra</w:t>
      </w:r>
      <w:r w:rsidRPr="00427F8C">
        <w:rPr>
          <w:rFonts w:ascii="Arial" w:hAnsi="Arial" w:cs="Arial"/>
          <w:b/>
          <w:sz w:val="20"/>
          <w:szCs w:val="20"/>
        </w:rPr>
        <w:t>,</w:t>
      </w:r>
      <w:r w:rsidRPr="00427F8C">
        <w:rPr>
          <w:rFonts w:ascii="Arial" w:hAnsi="Arial" w:cs="Arial"/>
          <w:sz w:val="20"/>
          <w:szCs w:val="20"/>
        </w:rPr>
        <w:t xml:space="preserve"> továbbá meg kell vizsgálni, hogy mely </w:t>
      </w:r>
      <w:r w:rsidRPr="00427F8C">
        <w:rPr>
          <w:rFonts w:ascii="Arial" w:hAnsi="Arial" w:cs="Arial"/>
          <w:b/>
          <w:sz w:val="20"/>
          <w:szCs w:val="20"/>
        </w:rPr>
        <w:t>nem kötelező elemek</w:t>
      </w:r>
      <w:r w:rsidRPr="00427F8C">
        <w:rPr>
          <w:rFonts w:ascii="Arial" w:hAnsi="Arial" w:cs="Arial"/>
          <w:sz w:val="20"/>
          <w:szCs w:val="20"/>
        </w:rPr>
        <w:t xml:space="preserve"> szabályozása célszerű és melyek elengedhetetlenek a testületi működés hatékonyabbá és gördülékenyebbé tétele érdekében.</w:t>
      </w:r>
    </w:p>
    <w:p w:rsidR="00427F8C" w:rsidRPr="00427F8C" w:rsidRDefault="00427F8C" w:rsidP="00427F8C">
      <w:pPr>
        <w:shd w:val="clear" w:color="auto" w:fill="FFFFFF"/>
        <w:spacing w:line="276" w:lineRule="auto"/>
        <w:ind w:left="14" w:right="24"/>
        <w:jc w:val="both"/>
        <w:rPr>
          <w:rFonts w:ascii="Arial" w:hAnsi="Arial" w:cs="Arial"/>
          <w:b/>
          <w:sz w:val="20"/>
          <w:szCs w:val="20"/>
        </w:rPr>
      </w:pPr>
    </w:p>
    <w:p w:rsidR="00427F8C" w:rsidRPr="00427F8C" w:rsidRDefault="00427F8C" w:rsidP="00427F8C">
      <w:pPr>
        <w:shd w:val="clear" w:color="auto" w:fill="FFFFFF"/>
        <w:spacing w:line="276" w:lineRule="auto"/>
        <w:ind w:left="14" w:right="24"/>
        <w:jc w:val="both"/>
        <w:rPr>
          <w:rFonts w:ascii="Arial" w:hAnsi="Arial" w:cs="Arial"/>
          <w:b/>
          <w:sz w:val="20"/>
          <w:szCs w:val="20"/>
        </w:rPr>
      </w:pPr>
      <w:r w:rsidRPr="00427F8C">
        <w:rPr>
          <w:rFonts w:ascii="Arial" w:hAnsi="Arial" w:cs="Arial"/>
          <w:sz w:val="20"/>
          <w:szCs w:val="20"/>
        </w:rPr>
        <w:t>Az SZMSZ felülvizsgálatát</w:t>
      </w:r>
      <w:r w:rsidRPr="00427F8C">
        <w:rPr>
          <w:rFonts w:ascii="Arial" w:hAnsi="Arial" w:cs="Arial"/>
          <w:b/>
          <w:sz w:val="20"/>
          <w:szCs w:val="20"/>
        </w:rPr>
        <w:t xml:space="preserve"> </w:t>
      </w:r>
      <w:r w:rsidRPr="00427F8C">
        <w:rPr>
          <w:rFonts w:ascii="Arial" w:hAnsi="Arial" w:cs="Arial"/>
          <w:sz w:val="20"/>
          <w:szCs w:val="20"/>
        </w:rPr>
        <w:t xml:space="preserve">minden választási ciklus kezdetén el kell végezni </w:t>
      </w:r>
      <w:r w:rsidRPr="00427F8C">
        <w:rPr>
          <w:rFonts w:ascii="Arial" w:hAnsi="Arial" w:cs="Arial"/>
          <w:b/>
          <w:bCs/>
          <w:sz w:val="20"/>
          <w:szCs w:val="20"/>
        </w:rPr>
        <w:t xml:space="preserve">az </w:t>
      </w:r>
      <w:proofErr w:type="spellStart"/>
      <w:r w:rsidRPr="00427F8C">
        <w:rPr>
          <w:rFonts w:ascii="Arial" w:hAnsi="Arial" w:cs="Arial"/>
          <w:b/>
          <w:bCs/>
          <w:sz w:val="20"/>
          <w:szCs w:val="20"/>
        </w:rPr>
        <w:t>Mötv</w:t>
      </w:r>
      <w:proofErr w:type="spellEnd"/>
      <w:r w:rsidRPr="00427F8C">
        <w:rPr>
          <w:rFonts w:ascii="Arial" w:hAnsi="Arial" w:cs="Arial"/>
          <w:b/>
          <w:bCs/>
          <w:sz w:val="20"/>
          <w:szCs w:val="20"/>
        </w:rPr>
        <w:t>. 43. § (3) bekezdése alapján</w:t>
      </w:r>
      <w:r w:rsidRPr="00427F8C">
        <w:rPr>
          <w:rFonts w:ascii="Arial" w:hAnsi="Arial" w:cs="Arial"/>
          <w:bCs/>
          <w:sz w:val="20"/>
          <w:szCs w:val="20"/>
        </w:rPr>
        <w:t>, amely szerint a</w:t>
      </w:r>
      <w:r w:rsidRPr="00427F8C">
        <w:rPr>
          <w:rFonts w:ascii="Arial" w:hAnsi="Arial" w:cs="Arial"/>
          <w:b/>
          <w:sz w:val="20"/>
          <w:szCs w:val="20"/>
        </w:rPr>
        <w:t xml:space="preserve"> képviselő-testület </w:t>
      </w:r>
      <w:r w:rsidRPr="00427F8C">
        <w:rPr>
          <w:rFonts w:ascii="Arial" w:hAnsi="Arial" w:cs="Arial"/>
          <w:b/>
          <w:sz w:val="20"/>
          <w:szCs w:val="20"/>
          <w:u w:val="single"/>
        </w:rPr>
        <w:t>az alakuló vagy az azt követő ülésen</w:t>
      </w:r>
      <w:r w:rsidRPr="00427F8C">
        <w:rPr>
          <w:rFonts w:ascii="Arial" w:hAnsi="Arial" w:cs="Arial"/>
          <w:b/>
          <w:sz w:val="20"/>
          <w:szCs w:val="20"/>
        </w:rPr>
        <w:t xml:space="preserve"> </w:t>
      </w:r>
      <w:r w:rsidRPr="00427F8C">
        <w:rPr>
          <w:rFonts w:ascii="Arial" w:hAnsi="Arial" w:cs="Arial"/>
          <w:sz w:val="20"/>
          <w:szCs w:val="20"/>
        </w:rPr>
        <w:t>e törvény szabályai szerint</w:t>
      </w:r>
      <w:r w:rsidRPr="00427F8C">
        <w:rPr>
          <w:rFonts w:ascii="Arial" w:hAnsi="Arial" w:cs="Arial"/>
          <w:b/>
          <w:sz w:val="20"/>
          <w:szCs w:val="20"/>
        </w:rPr>
        <w:t xml:space="preserve"> </w:t>
      </w:r>
      <w:r w:rsidRPr="00427F8C">
        <w:rPr>
          <w:rFonts w:ascii="Arial" w:hAnsi="Arial" w:cs="Arial"/>
          <w:b/>
          <w:sz w:val="20"/>
          <w:szCs w:val="20"/>
          <w:u w:val="single"/>
        </w:rPr>
        <w:t>megalkotja vagy felülvizsgálja</w:t>
      </w:r>
      <w:r w:rsidRPr="00427F8C">
        <w:rPr>
          <w:rFonts w:ascii="Arial" w:hAnsi="Arial" w:cs="Arial"/>
          <w:b/>
          <w:sz w:val="20"/>
          <w:szCs w:val="20"/>
        </w:rPr>
        <w:t xml:space="preserve"> szervezeti és működési szabályzatáról szóló rendeletét. </w:t>
      </w:r>
    </w:p>
    <w:p w:rsidR="00427F8C" w:rsidRPr="00427F8C" w:rsidRDefault="00427F8C" w:rsidP="00427F8C">
      <w:pPr>
        <w:shd w:val="clear" w:color="auto" w:fill="FFFFFF"/>
        <w:spacing w:after="60" w:line="276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427F8C">
        <w:rPr>
          <w:rFonts w:ascii="Arial" w:hAnsi="Arial" w:cs="Arial"/>
          <w:sz w:val="20"/>
          <w:szCs w:val="20"/>
        </w:rPr>
        <w:t xml:space="preserve">A képviselő-testület a felülvizsgálati kötelezettségének </w:t>
      </w:r>
      <w:r w:rsidRPr="00427F8C">
        <w:rPr>
          <w:rFonts w:ascii="Arial" w:hAnsi="Arial" w:cs="Arial"/>
          <w:b/>
          <w:sz w:val="20"/>
          <w:szCs w:val="20"/>
        </w:rPr>
        <w:t xml:space="preserve">háromféle </w:t>
      </w:r>
      <w:r w:rsidRPr="00427F8C">
        <w:rPr>
          <w:rFonts w:ascii="Arial" w:hAnsi="Arial" w:cs="Arial"/>
          <w:sz w:val="20"/>
          <w:szCs w:val="20"/>
        </w:rPr>
        <w:t>módon tehet eleget:</w:t>
      </w:r>
    </w:p>
    <w:p w:rsidR="00427F8C" w:rsidRPr="00427F8C" w:rsidRDefault="00427F8C" w:rsidP="00427F8C">
      <w:pPr>
        <w:numPr>
          <w:ilvl w:val="0"/>
          <w:numId w:val="2"/>
        </w:numPr>
        <w:spacing w:after="6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427F8C">
        <w:rPr>
          <w:rFonts w:ascii="Arial" w:hAnsi="Arial" w:cs="Arial"/>
          <w:sz w:val="20"/>
          <w:szCs w:val="20"/>
        </w:rPr>
        <w:t xml:space="preserve">az SZMSZ tárgyalását napirendjére tűzi, </w:t>
      </w:r>
      <w:r w:rsidRPr="00427F8C">
        <w:rPr>
          <w:rFonts w:ascii="Arial" w:hAnsi="Arial" w:cs="Arial"/>
          <w:b/>
          <w:sz w:val="20"/>
          <w:szCs w:val="20"/>
        </w:rPr>
        <w:t>felülvizsgálja, de</w:t>
      </w:r>
      <w:r w:rsidRPr="00427F8C">
        <w:rPr>
          <w:rFonts w:ascii="Arial" w:hAnsi="Arial" w:cs="Arial"/>
          <w:sz w:val="20"/>
          <w:szCs w:val="20"/>
        </w:rPr>
        <w:t xml:space="preserve"> </w:t>
      </w:r>
      <w:r w:rsidRPr="00427F8C">
        <w:rPr>
          <w:rFonts w:ascii="Arial" w:hAnsi="Arial" w:cs="Arial"/>
          <w:b/>
          <w:sz w:val="20"/>
          <w:szCs w:val="20"/>
        </w:rPr>
        <w:t>nem módosítja</w:t>
      </w:r>
      <w:r w:rsidRPr="00427F8C">
        <w:rPr>
          <w:rFonts w:ascii="Arial" w:hAnsi="Arial" w:cs="Arial"/>
          <w:sz w:val="20"/>
          <w:szCs w:val="20"/>
        </w:rPr>
        <w:t xml:space="preserve">, mert mind szervezeti felépítési, mind </w:t>
      </w:r>
      <w:proofErr w:type="spellStart"/>
      <w:r w:rsidRPr="00427F8C">
        <w:rPr>
          <w:rFonts w:ascii="Arial" w:hAnsi="Arial" w:cs="Arial"/>
          <w:sz w:val="20"/>
          <w:szCs w:val="20"/>
        </w:rPr>
        <w:t>működésbeli</w:t>
      </w:r>
      <w:proofErr w:type="spellEnd"/>
      <w:r w:rsidRPr="00427F8C">
        <w:rPr>
          <w:rFonts w:ascii="Arial" w:hAnsi="Arial" w:cs="Arial"/>
          <w:sz w:val="20"/>
          <w:szCs w:val="20"/>
        </w:rPr>
        <w:t xml:space="preserve"> szempontok alapján is megfelelőnek találja azt a további munkájához, mindezeken túl jogharmonizációt sem igényel;</w:t>
      </w:r>
    </w:p>
    <w:p w:rsidR="00427F8C" w:rsidRPr="00427F8C" w:rsidRDefault="00427F8C" w:rsidP="00427F8C">
      <w:pPr>
        <w:numPr>
          <w:ilvl w:val="0"/>
          <w:numId w:val="2"/>
        </w:numPr>
        <w:spacing w:after="6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427F8C">
        <w:rPr>
          <w:rFonts w:ascii="Arial" w:hAnsi="Arial" w:cs="Arial"/>
          <w:sz w:val="20"/>
          <w:szCs w:val="20"/>
        </w:rPr>
        <w:t xml:space="preserve">ha az SZMSZ szabályozása csak kis mértékben tér el az elképzeléseitől, és/vagy csak jogharmonizációs változtatások szükségesek, </w:t>
      </w:r>
      <w:r w:rsidRPr="00427F8C">
        <w:rPr>
          <w:rFonts w:ascii="Arial" w:hAnsi="Arial" w:cs="Arial"/>
          <w:b/>
          <w:sz w:val="20"/>
          <w:szCs w:val="20"/>
        </w:rPr>
        <w:t>módosítja</w:t>
      </w:r>
      <w:r w:rsidRPr="00427F8C">
        <w:rPr>
          <w:rFonts w:ascii="Arial" w:hAnsi="Arial" w:cs="Arial"/>
          <w:sz w:val="20"/>
          <w:szCs w:val="20"/>
        </w:rPr>
        <w:t xml:space="preserve"> azt;</w:t>
      </w:r>
    </w:p>
    <w:p w:rsidR="00427F8C" w:rsidRPr="00427F8C" w:rsidRDefault="00427F8C" w:rsidP="00427F8C">
      <w:pPr>
        <w:numPr>
          <w:ilvl w:val="0"/>
          <w:numId w:val="2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427F8C">
        <w:rPr>
          <w:rFonts w:ascii="Arial" w:hAnsi="Arial" w:cs="Arial"/>
          <w:sz w:val="20"/>
          <w:szCs w:val="20"/>
        </w:rPr>
        <w:t xml:space="preserve">amennyiben a hatályos SZMSZ-ben olyan sok a változtatást igénylő szabályozás, amely indokolja a rendelet hatályon kívül helyezését, a testület </w:t>
      </w:r>
      <w:r w:rsidRPr="00427F8C">
        <w:rPr>
          <w:rFonts w:ascii="Arial" w:hAnsi="Arial" w:cs="Arial"/>
          <w:b/>
          <w:sz w:val="20"/>
          <w:szCs w:val="20"/>
        </w:rPr>
        <w:t>új rendeletet alkot</w:t>
      </w:r>
      <w:r w:rsidRPr="00427F8C">
        <w:rPr>
          <w:rFonts w:ascii="Arial" w:hAnsi="Arial" w:cs="Arial"/>
          <w:sz w:val="20"/>
          <w:szCs w:val="20"/>
        </w:rPr>
        <w:t>.</w:t>
      </w:r>
    </w:p>
    <w:p w:rsidR="00427F8C" w:rsidRPr="00427F8C" w:rsidRDefault="00427F8C" w:rsidP="00427F8C">
      <w:pPr>
        <w:shd w:val="clear" w:color="auto" w:fill="FFFFFF"/>
        <w:spacing w:line="276" w:lineRule="auto"/>
        <w:ind w:left="14" w:right="24"/>
        <w:jc w:val="both"/>
        <w:rPr>
          <w:rFonts w:ascii="Arial" w:hAnsi="Arial" w:cs="Arial"/>
          <w:sz w:val="20"/>
          <w:szCs w:val="20"/>
        </w:rPr>
      </w:pPr>
    </w:p>
    <w:p w:rsidR="00427F8C" w:rsidRPr="00427F8C" w:rsidRDefault="00427F8C" w:rsidP="00427F8C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27F8C">
        <w:rPr>
          <w:rFonts w:ascii="Arial" w:hAnsi="Arial" w:cs="Arial"/>
          <w:sz w:val="20"/>
          <w:szCs w:val="20"/>
        </w:rPr>
        <w:t xml:space="preserve">A SZMSZ felülvizsgálata során elsősorban </w:t>
      </w:r>
      <w:r w:rsidRPr="00427F8C">
        <w:rPr>
          <w:rFonts w:ascii="Arial" w:hAnsi="Arial" w:cs="Arial"/>
          <w:b/>
          <w:sz w:val="20"/>
          <w:szCs w:val="20"/>
        </w:rPr>
        <w:t xml:space="preserve">az </w:t>
      </w:r>
      <w:proofErr w:type="spellStart"/>
      <w:r w:rsidRPr="00427F8C">
        <w:rPr>
          <w:rFonts w:ascii="Arial" w:hAnsi="Arial" w:cs="Arial"/>
          <w:b/>
          <w:sz w:val="20"/>
          <w:szCs w:val="20"/>
        </w:rPr>
        <w:t>Mötv</w:t>
      </w:r>
      <w:proofErr w:type="spellEnd"/>
      <w:r w:rsidRPr="00427F8C">
        <w:rPr>
          <w:rFonts w:ascii="Arial" w:hAnsi="Arial" w:cs="Arial"/>
          <w:b/>
          <w:sz w:val="20"/>
          <w:szCs w:val="20"/>
        </w:rPr>
        <w:t>. előírásait kell figyelembe venni.</w:t>
      </w:r>
    </w:p>
    <w:p w:rsidR="00427F8C" w:rsidRPr="00427F8C" w:rsidRDefault="00427F8C" w:rsidP="00427F8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27F8C">
        <w:rPr>
          <w:rFonts w:ascii="Arial" w:hAnsi="Arial" w:cs="Arial"/>
          <w:bCs/>
          <w:sz w:val="20"/>
          <w:szCs w:val="20"/>
        </w:rPr>
        <w:t xml:space="preserve">Az </w:t>
      </w:r>
      <w:proofErr w:type="spellStart"/>
      <w:r w:rsidRPr="00427F8C">
        <w:rPr>
          <w:rFonts w:ascii="Arial" w:hAnsi="Arial" w:cs="Arial"/>
          <w:b/>
          <w:bCs/>
          <w:sz w:val="20"/>
          <w:szCs w:val="20"/>
        </w:rPr>
        <w:t>Mötv</w:t>
      </w:r>
      <w:proofErr w:type="spellEnd"/>
      <w:r w:rsidRPr="00427F8C">
        <w:rPr>
          <w:rFonts w:ascii="Arial" w:hAnsi="Arial" w:cs="Arial"/>
          <w:b/>
          <w:bCs/>
          <w:sz w:val="20"/>
          <w:szCs w:val="20"/>
        </w:rPr>
        <w:t xml:space="preserve">. 41. § (2) bekezdése </w:t>
      </w:r>
      <w:r w:rsidRPr="00427F8C">
        <w:rPr>
          <w:rFonts w:ascii="Arial" w:hAnsi="Arial" w:cs="Arial"/>
          <w:bCs/>
          <w:sz w:val="20"/>
          <w:szCs w:val="20"/>
        </w:rPr>
        <w:t>szerint az önkormányzat szervei: a polgármester, a főpolgármester, a vármegyei közgyűlés elnöke, a képviselő-testület bizottságai, a részönkormányzat testülete, a polgármesteri hivatal, a vármegyei önkormányzati hivatal, a közös önkormányzati hivatal, a jegyző, továbbá a társulás.</w:t>
      </w:r>
    </w:p>
    <w:p w:rsidR="00427F8C" w:rsidRPr="00427F8C" w:rsidRDefault="00427F8C" w:rsidP="00427F8C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27F8C">
        <w:rPr>
          <w:rFonts w:ascii="Arial" w:hAnsi="Arial" w:cs="Arial"/>
          <w:bCs/>
          <w:sz w:val="20"/>
          <w:szCs w:val="20"/>
        </w:rPr>
        <w:t xml:space="preserve">Az </w:t>
      </w:r>
      <w:proofErr w:type="spellStart"/>
      <w:r w:rsidRPr="00427F8C">
        <w:rPr>
          <w:rFonts w:ascii="Arial" w:hAnsi="Arial" w:cs="Arial"/>
          <w:b/>
          <w:bCs/>
          <w:sz w:val="20"/>
          <w:szCs w:val="20"/>
        </w:rPr>
        <w:t>Mötv</w:t>
      </w:r>
      <w:proofErr w:type="spellEnd"/>
      <w:r w:rsidRPr="00427F8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427F8C">
        <w:rPr>
          <w:rFonts w:ascii="Arial" w:hAnsi="Arial" w:cs="Arial"/>
          <w:bCs/>
          <w:sz w:val="20"/>
          <w:szCs w:val="20"/>
        </w:rPr>
        <w:t xml:space="preserve">az </w:t>
      </w:r>
      <w:r w:rsidRPr="00427F8C">
        <w:rPr>
          <w:rFonts w:ascii="Arial" w:hAnsi="Arial" w:cs="Arial"/>
          <w:b/>
          <w:bCs/>
          <w:sz w:val="20"/>
          <w:szCs w:val="20"/>
        </w:rPr>
        <w:t xml:space="preserve">57. § (1) bekezdésében </w:t>
      </w:r>
      <w:r w:rsidRPr="00427F8C">
        <w:rPr>
          <w:rFonts w:ascii="Arial" w:hAnsi="Arial" w:cs="Arial"/>
          <w:bCs/>
          <w:sz w:val="20"/>
          <w:szCs w:val="20"/>
        </w:rPr>
        <w:t>határozza meg, hogy a bizottságok tekintetében melyek az SZMSZ-ben kötelezően rögzítendő szabályozási elemek. E szerint az SZMSZ tartalmazza</w:t>
      </w:r>
      <w:r w:rsidRPr="00427F8C">
        <w:rPr>
          <w:rFonts w:ascii="Arial" w:hAnsi="Arial" w:cs="Arial"/>
          <w:b/>
          <w:bCs/>
          <w:sz w:val="20"/>
          <w:szCs w:val="20"/>
        </w:rPr>
        <w:t xml:space="preserve"> az önkormányzat bizottságai elnevezését, a bizottságok tagjainak számát, a bizottságok feladat- és hatáskörét, </w:t>
      </w:r>
      <w:r w:rsidRPr="00427F8C">
        <w:rPr>
          <w:rFonts w:ascii="Arial" w:hAnsi="Arial" w:cs="Arial"/>
          <w:bCs/>
          <w:sz w:val="20"/>
          <w:szCs w:val="20"/>
        </w:rPr>
        <w:t>valamint működésük alapvető szabályait.</w:t>
      </w:r>
    </w:p>
    <w:p w:rsidR="00427F8C" w:rsidRPr="00427F8C" w:rsidRDefault="00427F8C" w:rsidP="00427F8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7F8C">
        <w:rPr>
          <w:rFonts w:ascii="Arial" w:hAnsi="Arial" w:cs="Arial"/>
          <w:sz w:val="20"/>
          <w:szCs w:val="20"/>
        </w:rPr>
        <w:t xml:space="preserve">Ugyanezen rendelkezés </w:t>
      </w:r>
      <w:proofErr w:type="spellStart"/>
      <w:r w:rsidRPr="00427F8C">
        <w:rPr>
          <w:rFonts w:ascii="Arial" w:hAnsi="Arial" w:cs="Arial"/>
          <w:sz w:val="20"/>
          <w:szCs w:val="20"/>
        </w:rPr>
        <w:t>szerintt</w:t>
      </w:r>
      <w:proofErr w:type="spellEnd"/>
      <w:r w:rsidRPr="00427F8C">
        <w:rPr>
          <w:rFonts w:ascii="Arial" w:hAnsi="Arial" w:cs="Arial"/>
          <w:sz w:val="20"/>
          <w:szCs w:val="20"/>
        </w:rPr>
        <w:t xml:space="preserve"> a </w:t>
      </w:r>
      <w:r w:rsidRPr="00427F8C">
        <w:rPr>
          <w:rFonts w:ascii="Arial" w:hAnsi="Arial" w:cs="Arial"/>
          <w:b/>
          <w:sz w:val="20"/>
          <w:szCs w:val="20"/>
        </w:rPr>
        <w:t>száz főt meg nem haladó lakosú településen a bizottsági feladatokat a képviselő-testület látja el. Az ezer főt meg nem haladó lakosú településen a kötelező bizottsági feladat- és hatásköröket egy bizottság is elláthatja.</w:t>
      </w:r>
    </w:p>
    <w:p w:rsidR="00427F8C" w:rsidRPr="00427F8C" w:rsidRDefault="00427F8C" w:rsidP="00427F8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7F8C">
        <w:rPr>
          <w:rFonts w:ascii="Arial" w:hAnsi="Arial" w:cs="Arial"/>
          <w:bCs/>
          <w:sz w:val="20"/>
          <w:szCs w:val="20"/>
        </w:rPr>
        <w:t xml:space="preserve">A leírtakból az következik, hogy a </w:t>
      </w:r>
      <w:r w:rsidRPr="00427F8C">
        <w:rPr>
          <w:rFonts w:ascii="Arial" w:hAnsi="Arial" w:cs="Arial"/>
          <w:b/>
          <w:bCs/>
          <w:sz w:val="20"/>
          <w:szCs w:val="20"/>
        </w:rPr>
        <w:t>száz főnél kevesebb lakosú településeken</w:t>
      </w:r>
      <w:r w:rsidRPr="00427F8C">
        <w:rPr>
          <w:rFonts w:ascii="Arial" w:hAnsi="Arial" w:cs="Arial"/>
          <w:bCs/>
          <w:sz w:val="20"/>
          <w:szCs w:val="20"/>
        </w:rPr>
        <w:t xml:space="preserve"> </w:t>
      </w:r>
      <w:r w:rsidRPr="00427F8C">
        <w:rPr>
          <w:rFonts w:ascii="Arial" w:hAnsi="Arial" w:cs="Arial"/>
          <w:b/>
          <w:bCs/>
          <w:sz w:val="20"/>
          <w:szCs w:val="20"/>
        </w:rPr>
        <w:t xml:space="preserve">nem lehet bizottságot létrehozni, </w:t>
      </w:r>
      <w:r w:rsidRPr="00427F8C">
        <w:rPr>
          <w:rFonts w:ascii="Arial" w:hAnsi="Arial" w:cs="Arial"/>
          <w:bCs/>
          <w:sz w:val="20"/>
          <w:szCs w:val="20"/>
        </w:rPr>
        <w:t xml:space="preserve">míg a </w:t>
      </w:r>
      <w:r w:rsidRPr="00427F8C">
        <w:rPr>
          <w:rFonts w:ascii="Arial" w:hAnsi="Arial" w:cs="Arial"/>
          <w:b/>
          <w:bCs/>
          <w:sz w:val="20"/>
          <w:szCs w:val="20"/>
        </w:rPr>
        <w:t>száz főnél több, de ezer főt meg nem haladó lakosú településeken a különböző kötelező bizottsági feladatok ellátására egy bizottság létrehozatala mindenképpen szükséges, de a képviselő-testület mérlegelési jogkörében dönthet több bizottság létesítéséről.</w:t>
      </w:r>
    </w:p>
    <w:p w:rsidR="00427F8C" w:rsidRPr="00427F8C" w:rsidRDefault="00427F8C" w:rsidP="00427F8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7F8C">
        <w:rPr>
          <w:rFonts w:ascii="Arial" w:hAnsi="Arial" w:cs="Arial"/>
          <w:bCs/>
          <w:sz w:val="20"/>
          <w:szCs w:val="20"/>
        </w:rPr>
        <w:t xml:space="preserve">A </w:t>
      </w:r>
      <w:r w:rsidRPr="00427F8C">
        <w:rPr>
          <w:rFonts w:ascii="Arial" w:hAnsi="Arial" w:cs="Arial"/>
          <w:b/>
          <w:bCs/>
          <w:sz w:val="20"/>
          <w:szCs w:val="20"/>
        </w:rPr>
        <w:t>kétezer főnél több lakosú településen pénzügyi bizottság létrehozatala kötelező.</w:t>
      </w:r>
    </w:p>
    <w:p w:rsidR="00427F8C" w:rsidRPr="00427F8C" w:rsidRDefault="00427F8C" w:rsidP="00427F8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7F8C">
        <w:rPr>
          <w:rFonts w:ascii="Arial" w:hAnsi="Arial" w:cs="Arial"/>
          <w:bCs/>
          <w:sz w:val="20"/>
          <w:szCs w:val="20"/>
        </w:rPr>
        <w:t xml:space="preserve">Az </w:t>
      </w:r>
      <w:proofErr w:type="spellStart"/>
      <w:r w:rsidRPr="00427F8C">
        <w:rPr>
          <w:rFonts w:ascii="Arial" w:hAnsi="Arial" w:cs="Arial"/>
          <w:b/>
          <w:bCs/>
          <w:sz w:val="20"/>
          <w:szCs w:val="20"/>
        </w:rPr>
        <w:t>Mötv</w:t>
      </w:r>
      <w:proofErr w:type="spellEnd"/>
      <w:r w:rsidRPr="00427F8C">
        <w:rPr>
          <w:rFonts w:ascii="Arial" w:hAnsi="Arial" w:cs="Arial"/>
          <w:b/>
          <w:bCs/>
          <w:sz w:val="20"/>
          <w:szCs w:val="20"/>
        </w:rPr>
        <w:t xml:space="preserve">. 39. § (3) </w:t>
      </w:r>
      <w:r w:rsidRPr="00427F8C">
        <w:rPr>
          <w:rFonts w:ascii="Arial" w:hAnsi="Arial" w:cs="Arial"/>
          <w:bCs/>
          <w:sz w:val="20"/>
          <w:szCs w:val="20"/>
        </w:rPr>
        <w:t xml:space="preserve">és </w:t>
      </w:r>
      <w:r w:rsidRPr="00427F8C">
        <w:rPr>
          <w:rFonts w:ascii="Arial" w:hAnsi="Arial" w:cs="Arial"/>
          <w:b/>
          <w:bCs/>
          <w:sz w:val="20"/>
          <w:szCs w:val="20"/>
        </w:rPr>
        <w:t xml:space="preserve">57. § (2) bekezdése </w:t>
      </w:r>
      <w:r w:rsidRPr="00427F8C">
        <w:rPr>
          <w:rFonts w:ascii="Arial" w:hAnsi="Arial" w:cs="Arial"/>
          <w:bCs/>
          <w:sz w:val="20"/>
          <w:szCs w:val="20"/>
        </w:rPr>
        <w:t xml:space="preserve">alapján </w:t>
      </w:r>
      <w:r w:rsidRPr="00427F8C">
        <w:rPr>
          <w:rFonts w:ascii="Arial" w:hAnsi="Arial" w:cs="Arial"/>
          <w:b/>
          <w:bCs/>
          <w:sz w:val="20"/>
          <w:szCs w:val="20"/>
        </w:rPr>
        <w:t xml:space="preserve">a vagyonnyilatkozatok nyilvántartását, ellenőrzését és vizsgálatát ellátó bizottság, </w:t>
      </w:r>
      <w:r w:rsidRPr="00427F8C">
        <w:rPr>
          <w:rFonts w:ascii="Arial" w:hAnsi="Arial" w:cs="Arial"/>
          <w:bCs/>
          <w:sz w:val="20"/>
          <w:szCs w:val="20"/>
        </w:rPr>
        <w:t xml:space="preserve">valamint az </w:t>
      </w:r>
      <w:proofErr w:type="spellStart"/>
      <w:r w:rsidRPr="00427F8C">
        <w:rPr>
          <w:rFonts w:ascii="Arial" w:hAnsi="Arial" w:cs="Arial"/>
          <w:b/>
          <w:bCs/>
          <w:sz w:val="20"/>
          <w:szCs w:val="20"/>
        </w:rPr>
        <w:t>Mötv</w:t>
      </w:r>
      <w:proofErr w:type="spellEnd"/>
      <w:r w:rsidRPr="00427F8C">
        <w:rPr>
          <w:rFonts w:ascii="Arial" w:hAnsi="Arial" w:cs="Arial"/>
          <w:b/>
          <w:bCs/>
          <w:sz w:val="20"/>
          <w:szCs w:val="20"/>
        </w:rPr>
        <w:t xml:space="preserve">. 37. § (1) bekezdése </w:t>
      </w:r>
      <w:r w:rsidRPr="00427F8C">
        <w:rPr>
          <w:rFonts w:ascii="Arial" w:hAnsi="Arial" w:cs="Arial"/>
          <w:bCs/>
          <w:sz w:val="20"/>
          <w:szCs w:val="20"/>
        </w:rPr>
        <w:t>alapján megválasztásra kerülő bizottság – az előző bekezdésben hivatkozott kivétellel – valamennyi képviselő-</w:t>
      </w:r>
      <w:r w:rsidRPr="00427F8C">
        <w:rPr>
          <w:rFonts w:ascii="Arial" w:hAnsi="Arial" w:cs="Arial"/>
          <w:bCs/>
          <w:sz w:val="20"/>
          <w:szCs w:val="20"/>
        </w:rPr>
        <w:lastRenderedPageBreak/>
        <w:t xml:space="preserve">testület által kötelezően létrehozandó, amelyekről </w:t>
      </w:r>
      <w:r w:rsidRPr="00427F8C">
        <w:rPr>
          <w:rFonts w:ascii="Arial" w:hAnsi="Arial" w:cs="Arial"/>
          <w:b/>
          <w:bCs/>
          <w:sz w:val="20"/>
          <w:szCs w:val="20"/>
        </w:rPr>
        <w:t xml:space="preserve">az SZMSZ-ben rendelkezni kell. </w:t>
      </w:r>
      <w:r w:rsidRPr="00427F8C">
        <w:rPr>
          <w:rFonts w:ascii="Arial" w:hAnsi="Arial" w:cs="Arial"/>
          <w:bCs/>
          <w:sz w:val="20"/>
          <w:szCs w:val="20"/>
        </w:rPr>
        <w:t xml:space="preserve">Értelemszerűen ezeket a feladatokat </w:t>
      </w:r>
      <w:r w:rsidRPr="00427F8C">
        <w:rPr>
          <w:rFonts w:ascii="Arial" w:hAnsi="Arial" w:cs="Arial"/>
          <w:b/>
          <w:bCs/>
          <w:sz w:val="20"/>
          <w:szCs w:val="20"/>
        </w:rPr>
        <w:t>egy bizottság is elláthatja.</w:t>
      </w:r>
    </w:p>
    <w:p w:rsidR="00427F8C" w:rsidRPr="00427F8C" w:rsidRDefault="00427F8C" w:rsidP="00427F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427F8C">
        <w:rPr>
          <w:rFonts w:ascii="Arial" w:hAnsi="Arial" w:cs="Arial"/>
          <w:bCs/>
          <w:sz w:val="20"/>
          <w:szCs w:val="20"/>
        </w:rPr>
        <w:t xml:space="preserve">A jelenleg hatályos rendeletünk szerint a képviselő-testületnek két állandó bizottsága van, a </w:t>
      </w:r>
      <w:r w:rsidRPr="00427F8C">
        <w:rPr>
          <w:rFonts w:ascii="Arial" w:eastAsia="Times New Roman" w:hAnsi="Arial" w:cs="Arial"/>
          <w:sz w:val="20"/>
          <w:szCs w:val="20"/>
          <w:lang w:eastAsia="hu-HU"/>
        </w:rPr>
        <w:t>Pénzügyi, Településfejlesztési, Környezetvédelmi és Idegenforgalmi Bizottság, amely 5 tagú (3 képviselő és 2 külső tag), valamint a Szociális, Egészségügyi, Kulturális és Oktatási Bizottság, amely 3 tagú (2 képviselő és 1 külső tag).</w:t>
      </w:r>
    </w:p>
    <w:p w:rsidR="00427F8C" w:rsidRPr="00427F8C" w:rsidRDefault="00427F8C" w:rsidP="00427F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427F8C">
        <w:rPr>
          <w:rFonts w:ascii="Arial" w:eastAsia="Times New Roman" w:hAnsi="Arial" w:cs="Arial"/>
          <w:sz w:val="20"/>
          <w:szCs w:val="20"/>
          <w:lang w:eastAsia="hu-HU"/>
        </w:rPr>
        <w:t>Az alakuló ülést megelőző egyeztetések alapján a képviselő-testület a Szervezeti és Működési Szabályzatának felülvizsgálata keretében a képviselő-testület egy, kötelezően létrehozandó bizottság megalakítása mellett döntött Ügyrendi Bizottság elnevezéssel, és 3 képviselő taggal.</w:t>
      </w:r>
    </w:p>
    <w:p w:rsidR="00427F8C" w:rsidRPr="00427F8C" w:rsidRDefault="00427F8C" w:rsidP="00427F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427F8C">
        <w:rPr>
          <w:rFonts w:ascii="Arial" w:eastAsia="Times New Roman" w:hAnsi="Arial" w:cs="Arial"/>
          <w:sz w:val="20"/>
          <w:szCs w:val="20"/>
          <w:lang w:eastAsia="hu-HU"/>
        </w:rPr>
        <w:t>Az Ügyrendi Bizottság elsődleges feladat és hatásköre:</w:t>
      </w:r>
    </w:p>
    <w:p w:rsidR="00427F8C" w:rsidRPr="00427F8C" w:rsidRDefault="00427F8C" w:rsidP="00427F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427F8C">
        <w:rPr>
          <w:rFonts w:ascii="Arial" w:eastAsia="Times New Roman" w:hAnsi="Arial" w:cs="Arial"/>
          <w:sz w:val="20"/>
          <w:szCs w:val="20"/>
          <w:lang w:eastAsia="hu-HU"/>
        </w:rPr>
        <w:t>- vagyonnyilatkozatok nyilvántartása,</w:t>
      </w:r>
    </w:p>
    <w:p w:rsidR="00427F8C" w:rsidRPr="00427F8C" w:rsidRDefault="00427F8C" w:rsidP="00427F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427F8C">
        <w:rPr>
          <w:rFonts w:ascii="Arial" w:eastAsia="Times New Roman" w:hAnsi="Arial" w:cs="Arial"/>
          <w:sz w:val="20"/>
          <w:szCs w:val="20"/>
          <w:lang w:eastAsia="hu-HU"/>
        </w:rPr>
        <w:t>- vagyonnyilatkozatok ellenőrzése, ha az ellenőrzésre kezdeményezés érkezik,</w:t>
      </w:r>
    </w:p>
    <w:p w:rsidR="00427F8C" w:rsidRPr="00427F8C" w:rsidRDefault="00427F8C" w:rsidP="00427F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427F8C">
        <w:rPr>
          <w:rFonts w:ascii="Arial" w:eastAsia="Times New Roman" w:hAnsi="Arial" w:cs="Arial"/>
          <w:sz w:val="20"/>
          <w:szCs w:val="20"/>
          <w:lang w:eastAsia="hu-HU"/>
        </w:rPr>
        <w:t>- titkos szavazások lebonyolítása,</w:t>
      </w:r>
    </w:p>
    <w:p w:rsidR="00427F8C" w:rsidRPr="00427F8C" w:rsidRDefault="00427F8C" w:rsidP="00427F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427F8C">
        <w:rPr>
          <w:rFonts w:ascii="Arial" w:eastAsia="Times New Roman" w:hAnsi="Arial" w:cs="Arial"/>
          <w:sz w:val="20"/>
          <w:szCs w:val="20"/>
          <w:lang w:eastAsia="hu-HU"/>
        </w:rPr>
        <w:t>- összeférhetetlenségi, méltatlansági eljárás lefolytatása.</w:t>
      </w:r>
    </w:p>
    <w:p w:rsidR="00427F8C" w:rsidRPr="00427F8C" w:rsidRDefault="00427F8C" w:rsidP="00427F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427F8C" w:rsidRPr="00427F8C" w:rsidRDefault="00427F8C" w:rsidP="00427F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427F8C" w:rsidRPr="00427F8C" w:rsidRDefault="00427F8C" w:rsidP="00427F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427F8C">
        <w:rPr>
          <w:rFonts w:ascii="Arial" w:eastAsia="Times New Roman" w:hAnsi="Arial" w:cs="Arial"/>
          <w:sz w:val="20"/>
          <w:szCs w:val="20"/>
          <w:lang w:eastAsia="hu-HU"/>
        </w:rPr>
        <w:t xml:space="preserve">Javaslom az előterjesztés szerinti rendelet-tervezet elfogadását. </w:t>
      </w:r>
    </w:p>
    <w:p w:rsidR="00427F8C" w:rsidRPr="00427F8C" w:rsidRDefault="00427F8C" w:rsidP="00427F8C">
      <w:pPr>
        <w:suppressAutoHyphens/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</w:p>
    <w:p w:rsidR="00427F8C" w:rsidRPr="00427F8C" w:rsidRDefault="00427F8C" w:rsidP="00427F8C">
      <w:pPr>
        <w:suppressAutoHyphens/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</w:p>
    <w:p w:rsidR="00427F8C" w:rsidRPr="00427F8C" w:rsidRDefault="00427F8C" w:rsidP="00427F8C">
      <w:pPr>
        <w:suppressAutoHyphens/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427F8C">
        <w:rPr>
          <w:rFonts w:asciiTheme="majorHAnsi" w:eastAsia="Times New Roman" w:hAnsiTheme="majorHAnsi" w:cstheme="majorHAnsi"/>
          <w:lang w:eastAsia="hu-HU"/>
        </w:rPr>
        <w:t>Balatonberény, 2024. október 4.</w:t>
      </w:r>
    </w:p>
    <w:p w:rsidR="00427F8C" w:rsidRPr="00427F8C" w:rsidRDefault="00427F8C" w:rsidP="00427F8C">
      <w:pPr>
        <w:suppressAutoHyphens/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</w:p>
    <w:p w:rsidR="00427F8C" w:rsidRPr="00427F8C" w:rsidRDefault="00427F8C" w:rsidP="00427F8C">
      <w:pPr>
        <w:suppressAutoHyphens/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</w:p>
    <w:p w:rsidR="00427F8C" w:rsidRPr="00427F8C" w:rsidRDefault="00427F8C" w:rsidP="00427F8C">
      <w:pPr>
        <w:suppressAutoHyphens/>
        <w:spacing w:after="0" w:line="240" w:lineRule="auto"/>
        <w:jc w:val="right"/>
        <w:rPr>
          <w:rFonts w:asciiTheme="majorHAnsi" w:eastAsia="Times New Roman" w:hAnsiTheme="majorHAnsi" w:cstheme="majorHAnsi"/>
          <w:lang w:eastAsia="hu-HU"/>
        </w:rPr>
      </w:pPr>
      <w:proofErr w:type="spellStart"/>
      <w:r w:rsidRPr="00427F8C">
        <w:rPr>
          <w:rFonts w:asciiTheme="majorHAnsi" w:eastAsia="Times New Roman" w:hAnsiTheme="majorHAnsi" w:cstheme="majorHAnsi"/>
          <w:lang w:eastAsia="hu-HU"/>
        </w:rPr>
        <w:t>Druskoczi</w:t>
      </w:r>
      <w:proofErr w:type="spellEnd"/>
      <w:r w:rsidRPr="00427F8C">
        <w:rPr>
          <w:rFonts w:asciiTheme="majorHAnsi" w:eastAsia="Times New Roman" w:hAnsiTheme="majorHAnsi" w:cstheme="majorHAnsi"/>
          <w:lang w:eastAsia="hu-HU"/>
        </w:rPr>
        <w:t xml:space="preserve"> Tünde </w:t>
      </w:r>
      <w:proofErr w:type="spellStart"/>
      <w:r w:rsidRPr="00427F8C">
        <w:rPr>
          <w:rFonts w:asciiTheme="majorHAnsi" w:eastAsia="Times New Roman" w:hAnsiTheme="majorHAnsi" w:cstheme="majorHAnsi"/>
          <w:lang w:eastAsia="hu-HU"/>
        </w:rPr>
        <w:t>sk</w:t>
      </w:r>
      <w:proofErr w:type="spellEnd"/>
      <w:r w:rsidRPr="00427F8C">
        <w:rPr>
          <w:rFonts w:asciiTheme="majorHAnsi" w:eastAsia="Times New Roman" w:hAnsiTheme="majorHAnsi" w:cstheme="majorHAnsi"/>
          <w:lang w:eastAsia="hu-HU"/>
        </w:rPr>
        <w:t>.</w:t>
      </w:r>
    </w:p>
    <w:p w:rsidR="00427F8C" w:rsidRPr="00427F8C" w:rsidRDefault="00427F8C" w:rsidP="00427F8C">
      <w:pPr>
        <w:suppressAutoHyphens/>
        <w:spacing w:after="0" w:line="240" w:lineRule="auto"/>
        <w:jc w:val="right"/>
        <w:rPr>
          <w:rFonts w:asciiTheme="majorHAnsi" w:eastAsia="Noto Sans CJK SC Regular" w:hAnsiTheme="majorHAnsi" w:cstheme="majorHAnsi"/>
          <w:kern w:val="2"/>
          <w:lang w:eastAsia="zh-CN" w:bidi="hi-IN"/>
        </w:rPr>
      </w:pPr>
      <w:proofErr w:type="gramStart"/>
      <w:r w:rsidRPr="00427F8C">
        <w:rPr>
          <w:rFonts w:asciiTheme="majorHAnsi" w:eastAsia="Times New Roman" w:hAnsiTheme="majorHAnsi" w:cstheme="majorHAnsi"/>
          <w:lang w:eastAsia="hu-HU"/>
        </w:rPr>
        <w:t>polgármester</w:t>
      </w:r>
      <w:proofErr w:type="gramEnd"/>
    </w:p>
    <w:p w:rsidR="00427F8C" w:rsidRPr="00427F8C" w:rsidRDefault="00427F8C" w:rsidP="00427F8C">
      <w:pPr>
        <w:rPr>
          <w:rFonts w:asciiTheme="majorHAnsi" w:hAnsiTheme="majorHAnsi" w:cstheme="majorHAnsi"/>
          <w:b/>
          <w:color w:val="231F20"/>
          <w:spacing w:val="-2"/>
        </w:rPr>
      </w:pPr>
    </w:p>
    <w:p w:rsidR="00427F8C" w:rsidRPr="00427F8C" w:rsidRDefault="00427F8C" w:rsidP="00427F8C">
      <w:pPr>
        <w:jc w:val="center"/>
        <w:rPr>
          <w:rFonts w:asciiTheme="majorHAnsi" w:hAnsiTheme="majorHAnsi" w:cstheme="majorHAnsi"/>
          <w:b/>
          <w:color w:val="231F20"/>
          <w:spacing w:val="-2"/>
        </w:rPr>
      </w:pPr>
      <w:r w:rsidRPr="00427F8C">
        <w:rPr>
          <w:rFonts w:asciiTheme="majorHAnsi" w:hAnsiTheme="majorHAnsi" w:cstheme="majorHAnsi"/>
          <w:b/>
          <w:color w:val="231F20"/>
          <w:spacing w:val="-2"/>
        </w:rPr>
        <w:t>Előzetes hatásvizsgálati lap</w:t>
      </w:r>
    </w:p>
    <w:p w:rsidR="00427F8C" w:rsidRPr="00427F8C" w:rsidRDefault="00427F8C" w:rsidP="00427F8C">
      <w:pPr>
        <w:jc w:val="center"/>
        <w:rPr>
          <w:rFonts w:asciiTheme="majorHAnsi" w:hAnsiTheme="majorHAnsi" w:cstheme="majorHAnsi"/>
          <w:b/>
          <w:color w:val="231F20"/>
          <w:spacing w:val="-2"/>
        </w:rPr>
      </w:pPr>
      <w:r w:rsidRPr="00427F8C">
        <w:rPr>
          <w:rFonts w:asciiTheme="majorHAnsi" w:hAnsiTheme="majorHAnsi" w:cstheme="majorHAnsi"/>
          <w:b/>
          <w:color w:val="231F20"/>
          <w:spacing w:val="-2"/>
        </w:rPr>
        <w:t>Balatonberény Község Önkormányzata Képviselő-testületének a Szervezeti és Működési Szabályzatáról szóló 1önkormányzati rendelet módosításához</w:t>
      </w:r>
    </w:p>
    <w:p w:rsidR="00427F8C" w:rsidRPr="00427F8C" w:rsidRDefault="00427F8C" w:rsidP="00427F8C">
      <w:pPr>
        <w:jc w:val="both"/>
        <w:rPr>
          <w:rFonts w:asciiTheme="majorHAnsi" w:hAnsiTheme="majorHAnsi" w:cstheme="majorHAnsi"/>
          <w:color w:val="231F20"/>
          <w:spacing w:val="-2"/>
        </w:rPr>
      </w:pPr>
      <w:r w:rsidRPr="00427F8C">
        <w:rPr>
          <w:rFonts w:asciiTheme="majorHAnsi" w:hAnsiTheme="majorHAnsi" w:cstheme="majorHAnsi"/>
          <w:color w:val="231F20"/>
          <w:spacing w:val="-2"/>
        </w:rPr>
        <w:t>(a jogalkotásról szóló 2010. évi CXXX. törvény 17.§-</w:t>
      </w:r>
      <w:proofErr w:type="gramStart"/>
      <w:r w:rsidRPr="00427F8C">
        <w:rPr>
          <w:rFonts w:asciiTheme="majorHAnsi" w:hAnsiTheme="majorHAnsi" w:cstheme="majorHAnsi"/>
          <w:color w:val="231F20"/>
          <w:spacing w:val="-2"/>
        </w:rPr>
        <w:t>a</w:t>
      </w:r>
      <w:proofErr w:type="gramEnd"/>
      <w:r w:rsidRPr="00427F8C">
        <w:rPr>
          <w:rFonts w:asciiTheme="majorHAnsi" w:hAnsiTheme="majorHAnsi" w:cstheme="majorHAnsi"/>
          <w:color w:val="231F20"/>
          <w:spacing w:val="-2"/>
        </w:rPr>
        <w:t xml:space="preserve"> alapján)</w:t>
      </w:r>
    </w:p>
    <w:p w:rsidR="00427F8C" w:rsidRPr="00427F8C" w:rsidRDefault="00427F8C" w:rsidP="00427F8C">
      <w:pPr>
        <w:jc w:val="both"/>
        <w:rPr>
          <w:rFonts w:asciiTheme="majorHAnsi" w:hAnsiTheme="majorHAnsi" w:cstheme="majorHAnsi"/>
          <w:color w:val="231F20"/>
          <w:spacing w:val="-2"/>
        </w:rPr>
      </w:pPr>
      <w:r w:rsidRPr="00427F8C">
        <w:rPr>
          <w:rFonts w:asciiTheme="majorHAnsi" w:hAnsiTheme="majorHAnsi" w:cstheme="majorHAnsi"/>
          <w:color w:val="231F20"/>
          <w:spacing w:val="-2"/>
        </w:rPr>
        <w:t>A tervezett jogszabály várható következményei, különösen</w:t>
      </w:r>
    </w:p>
    <w:p w:rsidR="00427F8C" w:rsidRPr="00427F8C" w:rsidRDefault="00427F8C" w:rsidP="00427F8C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i/>
          <w:color w:val="231F20"/>
          <w:spacing w:val="-2"/>
        </w:rPr>
      </w:pPr>
      <w:r w:rsidRPr="00427F8C">
        <w:rPr>
          <w:rFonts w:asciiTheme="majorHAnsi" w:hAnsiTheme="majorHAnsi" w:cstheme="majorHAnsi"/>
          <w:b/>
          <w:i/>
          <w:color w:val="231F20"/>
          <w:spacing w:val="-2"/>
        </w:rPr>
        <w:t>társadalmi hatás</w:t>
      </w:r>
      <w:r w:rsidRPr="00427F8C">
        <w:rPr>
          <w:rFonts w:asciiTheme="majorHAnsi" w:hAnsiTheme="majorHAnsi" w:cstheme="majorHAnsi"/>
          <w:i/>
          <w:color w:val="231F20"/>
          <w:spacing w:val="-2"/>
        </w:rPr>
        <w:t>: nincs</w:t>
      </w:r>
    </w:p>
    <w:p w:rsidR="00427F8C" w:rsidRPr="00427F8C" w:rsidRDefault="00427F8C" w:rsidP="00427F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427F8C">
        <w:rPr>
          <w:rFonts w:asciiTheme="majorHAnsi" w:hAnsiTheme="majorHAnsi" w:cstheme="majorHAnsi"/>
          <w:b/>
          <w:color w:val="231F20"/>
          <w:spacing w:val="-2"/>
        </w:rPr>
        <w:t>gazdasági hatása</w:t>
      </w:r>
      <w:r w:rsidRPr="00427F8C">
        <w:rPr>
          <w:rFonts w:asciiTheme="majorHAnsi" w:hAnsiTheme="majorHAnsi" w:cstheme="majorHAnsi"/>
          <w:color w:val="231F20"/>
          <w:spacing w:val="-2"/>
        </w:rPr>
        <w:t xml:space="preserve">: </w:t>
      </w:r>
      <w:r w:rsidRPr="00427F8C">
        <w:rPr>
          <w:rFonts w:asciiTheme="majorHAnsi" w:hAnsiTheme="majorHAnsi" w:cstheme="majorHAnsi"/>
        </w:rPr>
        <w:t>nincs</w:t>
      </w:r>
    </w:p>
    <w:p w:rsidR="00427F8C" w:rsidRPr="00427F8C" w:rsidRDefault="00427F8C" w:rsidP="00427F8C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  <w:r w:rsidRPr="00427F8C">
        <w:rPr>
          <w:rFonts w:asciiTheme="majorHAnsi" w:hAnsiTheme="majorHAnsi" w:cstheme="majorHAnsi"/>
          <w:b/>
          <w:color w:val="231F20"/>
          <w:spacing w:val="-2"/>
        </w:rPr>
        <w:t>költségvetési hatása</w:t>
      </w:r>
      <w:r w:rsidRPr="00427F8C">
        <w:rPr>
          <w:rFonts w:asciiTheme="majorHAnsi" w:hAnsiTheme="majorHAnsi" w:cstheme="majorHAnsi"/>
          <w:color w:val="231F20"/>
          <w:spacing w:val="-2"/>
        </w:rPr>
        <w:t>: csökkenti az önkormányzat költségvetési kiadásait.</w:t>
      </w:r>
    </w:p>
    <w:p w:rsidR="00427F8C" w:rsidRPr="00427F8C" w:rsidRDefault="00427F8C" w:rsidP="00427F8C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  <w:r w:rsidRPr="00427F8C">
        <w:rPr>
          <w:rFonts w:asciiTheme="majorHAnsi" w:hAnsiTheme="majorHAnsi" w:cstheme="majorHAnsi"/>
          <w:b/>
          <w:color w:val="231F20"/>
          <w:spacing w:val="-2"/>
        </w:rPr>
        <w:t>környezeti következményei:</w:t>
      </w:r>
      <w:r w:rsidRPr="00427F8C">
        <w:rPr>
          <w:rFonts w:asciiTheme="majorHAnsi" w:hAnsiTheme="majorHAnsi" w:cstheme="majorHAnsi"/>
          <w:color w:val="231F20"/>
          <w:spacing w:val="-2"/>
        </w:rPr>
        <w:t xml:space="preserve"> nincs</w:t>
      </w:r>
    </w:p>
    <w:p w:rsidR="00427F8C" w:rsidRPr="00427F8C" w:rsidRDefault="00427F8C" w:rsidP="00427F8C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  <w:r w:rsidRPr="00427F8C">
        <w:rPr>
          <w:rFonts w:asciiTheme="majorHAnsi" w:hAnsiTheme="majorHAnsi" w:cstheme="majorHAnsi"/>
          <w:b/>
          <w:color w:val="231F20"/>
          <w:spacing w:val="-2"/>
        </w:rPr>
        <w:t>egészségi következményei</w:t>
      </w:r>
      <w:r w:rsidRPr="00427F8C">
        <w:rPr>
          <w:rFonts w:asciiTheme="majorHAnsi" w:hAnsiTheme="majorHAnsi" w:cstheme="majorHAnsi"/>
          <w:color w:val="231F20"/>
          <w:spacing w:val="-2"/>
        </w:rPr>
        <w:t>: a tervezetnek egészségi következménye nincs</w:t>
      </w:r>
    </w:p>
    <w:p w:rsidR="00427F8C" w:rsidRPr="00427F8C" w:rsidRDefault="00427F8C" w:rsidP="00427F8C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  <w:r w:rsidRPr="00427F8C">
        <w:rPr>
          <w:rFonts w:asciiTheme="majorHAnsi" w:hAnsiTheme="majorHAnsi" w:cstheme="majorHAnsi"/>
          <w:b/>
          <w:color w:val="231F20"/>
          <w:spacing w:val="-2"/>
        </w:rPr>
        <w:t>adminisztratív terheket befolyásoló hatásai</w:t>
      </w:r>
      <w:r w:rsidRPr="00427F8C">
        <w:rPr>
          <w:rFonts w:asciiTheme="majorHAnsi" w:hAnsiTheme="majorHAnsi" w:cstheme="majorHAnsi"/>
          <w:color w:val="231F20"/>
          <w:spacing w:val="-2"/>
        </w:rPr>
        <w:t>: csökkenti az adminisztratív terheket.</w:t>
      </w:r>
    </w:p>
    <w:p w:rsidR="00427F8C" w:rsidRPr="00427F8C" w:rsidRDefault="00427F8C" w:rsidP="00427F8C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27F8C">
        <w:rPr>
          <w:rFonts w:asciiTheme="majorHAnsi" w:hAnsiTheme="majorHAnsi" w:cstheme="majorHAnsi"/>
          <w:b/>
          <w:color w:val="231F20"/>
          <w:spacing w:val="-2"/>
        </w:rPr>
        <w:t xml:space="preserve">megalkotásának szükségessége: </w:t>
      </w:r>
      <w:r w:rsidRPr="00427F8C">
        <w:rPr>
          <w:rFonts w:asciiTheme="majorHAnsi" w:hAnsiTheme="majorHAnsi" w:cstheme="majorHAnsi"/>
          <w:color w:val="231F20"/>
          <w:spacing w:val="-2"/>
        </w:rPr>
        <w:t>A képviselő-testület az alakuló ülésén eleget tett a Szervezeti és Működési Szabályzata felülvizsgálati követelményének, melynek keretében a saját maga által kialakítani kívánt gyakorlatához igazította bizottságait.</w:t>
      </w:r>
    </w:p>
    <w:p w:rsidR="00427F8C" w:rsidRPr="00427F8C" w:rsidRDefault="00427F8C" w:rsidP="00427F8C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27F8C">
        <w:rPr>
          <w:rFonts w:asciiTheme="majorHAnsi" w:hAnsiTheme="majorHAnsi" w:cstheme="majorHAnsi"/>
          <w:b/>
          <w:color w:val="231F20"/>
          <w:spacing w:val="-2"/>
        </w:rPr>
        <w:t xml:space="preserve">alkalmazásához szükséges személyi, szervezeti, tárgyi és pénzügyi feltételek: </w:t>
      </w:r>
      <w:r w:rsidRPr="00427F8C">
        <w:rPr>
          <w:rFonts w:asciiTheme="majorHAnsi" w:hAnsiTheme="majorHAnsi" w:cstheme="majorHAnsi"/>
          <w:color w:val="231F20"/>
          <w:spacing w:val="-2"/>
        </w:rPr>
        <w:t>rendelkezésre áll.</w:t>
      </w:r>
    </w:p>
    <w:p w:rsidR="00427F8C" w:rsidRPr="00427F8C" w:rsidRDefault="00427F8C" w:rsidP="00427F8C">
      <w:p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</w:p>
    <w:p w:rsidR="00427F8C" w:rsidRPr="00427F8C" w:rsidRDefault="00427F8C" w:rsidP="00427F8C">
      <w:p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  <w:r w:rsidRPr="00427F8C">
        <w:rPr>
          <w:rFonts w:asciiTheme="majorHAnsi" w:hAnsiTheme="majorHAnsi" w:cstheme="majorHAnsi"/>
          <w:color w:val="231F20"/>
          <w:spacing w:val="-2"/>
        </w:rPr>
        <w:t>Balatonberény, 2024. október 4.</w:t>
      </w:r>
    </w:p>
    <w:p w:rsidR="00427F8C" w:rsidRPr="00427F8C" w:rsidRDefault="00427F8C" w:rsidP="00427F8C">
      <w:p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</w:p>
    <w:p w:rsidR="00427F8C" w:rsidRPr="00427F8C" w:rsidRDefault="00427F8C" w:rsidP="00427F8C">
      <w:pPr>
        <w:spacing w:after="0" w:line="240" w:lineRule="auto"/>
        <w:jc w:val="right"/>
        <w:rPr>
          <w:rFonts w:asciiTheme="majorHAnsi" w:hAnsiTheme="majorHAnsi" w:cstheme="majorHAnsi"/>
          <w:color w:val="231F20"/>
          <w:spacing w:val="-2"/>
        </w:rPr>
      </w:pPr>
      <w:r w:rsidRPr="00427F8C">
        <w:rPr>
          <w:rFonts w:asciiTheme="majorHAnsi" w:hAnsiTheme="majorHAnsi" w:cstheme="majorHAnsi"/>
          <w:color w:val="231F20"/>
          <w:spacing w:val="-2"/>
        </w:rPr>
        <w:t xml:space="preserve">Takácsné dr. Simán Zsuzsanna </w:t>
      </w:r>
      <w:proofErr w:type="spellStart"/>
      <w:r w:rsidRPr="00427F8C">
        <w:rPr>
          <w:rFonts w:asciiTheme="majorHAnsi" w:hAnsiTheme="majorHAnsi" w:cstheme="majorHAnsi"/>
          <w:color w:val="231F20"/>
          <w:spacing w:val="-2"/>
        </w:rPr>
        <w:t>sk</w:t>
      </w:r>
      <w:proofErr w:type="spellEnd"/>
      <w:r w:rsidRPr="00427F8C">
        <w:rPr>
          <w:rFonts w:asciiTheme="majorHAnsi" w:hAnsiTheme="majorHAnsi" w:cstheme="majorHAnsi"/>
          <w:color w:val="231F20"/>
          <w:spacing w:val="-2"/>
        </w:rPr>
        <w:t>.</w:t>
      </w:r>
    </w:p>
    <w:p w:rsidR="00F415A2" w:rsidRPr="00902DE5" w:rsidRDefault="00427F8C" w:rsidP="00902DE5">
      <w:pPr>
        <w:spacing w:after="0" w:line="240" w:lineRule="auto"/>
        <w:jc w:val="right"/>
        <w:rPr>
          <w:rFonts w:asciiTheme="majorHAnsi" w:hAnsiTheme="majorHAnsi" w:cstheme="majorHAnsi"/>
        </w:rPr>
      </w:pPr>
      <w:proofErr w:type="gramStart"/>
      <w:r w:rsidRPr="00427F8C">
        <w:rPr>
          <w:rFonts w:asciiTheme="majorHAnsi" w:hAnsiTheme="majorHAnsi" w:cstheme="majorHAnsi"/>
          <w:color w:val="231F20"/>
          <w:spacing w:val="-2"/>
        </w:rPr>
        <w:t>jegyző</w:t>
      </w:r>
      <w:bookmarkStart w:id="0" w:name="_GoBack"/>
      <w:bookmarkEnd w:id="0"/>
      <w:proofErr w:type="gramEnd"/>
    </w:p>
    <w:sectPr w:rsidR="00F415A2" w:rsidRPr="00902DE5" w:rsidSect="00813A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C7B" w:rsidRDefault="00C53C7B">
      <w:pPr>
        <w:spacing w:after="0" w:line="240" w:lineRule="auto"/>
      </w:pPr>
      <w:r>
        <w:separator/>
      </w:r>
    </w:p>
  </w:endnote>
  <w:endnote w:type="continuationSeparator" w:id="0">
    <w:p w:rsidR="00C53C7B" w:rsidRDefault="00C53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07" w:rsidRDefault="00427F8C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902DE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C7B" w:rsidRDefault="00C53C7B">
      <w:pPr>
        <w:spacing w:after="0" w:line="240" w:lineRule="auto"/>
      </w:pPr>
      <w:r>
        <w:separator/>
      </w:r>
    </w:p>
  </w:footnote>
  <w:footnote w:type="continuationSeparator" w:id="0">
    <w:p w:rsidR="00C53C7B" w:rsidRDefault="00C53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A1E46"/>
    <w:multiLevelType w:val="hybridMultilevel"/>
    <w:tmpl w:val="3C588D6A"/>
    <w:lvl w:ilvl="0" w:tplc="8F3EE9C2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F8C"/>
    <w:rsid w:val="00427F8C"/>
    <w:rsid w:val="00902DE5"/>
    <w:rsid w:val="00C53C7B"/>
    <w:rsid w:val="00F4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A63D"/>
  <w15:chartTrackingRefBased/>
  <w15:docId w15:val="{04C5D8DB-DB21-4135-8875-A9296563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lb1">
    <w:name w:val="Élőláb1"/>
    <w:basedOn w:val="Norml"/>
    <w:rsid w:val="00427F8C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730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2024-10-04T12:33:00Z</dcterms:created>
  <dcterms:modified xsi:type="dcterms:W3CDTF">2024-10-04T13:47:00Z</dcterms:modified>
</cp:coreProperties>
</file>